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DB7EA" w14:textId="18DE84DD" w:rsidR="00801447" w:rsidRPr="00801447" w:rsidRDefault="00801447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Cs/>
          <w:sz w:val="28"/>
          <w:szCs w:val="28"/>
        </w:rPr>
        <w:t>09</w:t>
      </w:r>
      <w:r w:rsidRPr="00801447">
        <w:rPr>
          <w:rFonts w:ascii="Arial" w:hAnsi="Arial" w:cs="Arial"/>
          <w:bCs/>
          <w:sz w:val="28"/>
          <w:szCs w:val="28"/>
        </w:rPr>
        <w:tab/>
        <w:t>Childcare practice procedures</w:t>
      </w:r>
    </w:p>
    <w:p w14:paraId="62A75F99" w14:textId="7E64EFDA" w:rsidR="006A3207" w:rsidRPr="00801447" w:rsidRDefault="00D81E9A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/>
          <w:sz w:val="28"/>
          <w:szCs w:val="28"/>
        </w:rPr>
        <w:t>0</w:t>
      </w:r>
      <w:r w:rsidR="007F4FE5" w:rsidRPr="00801447">
        <w:rPr>
          <w:rFonts w:ascii="Arial" w:hAnsi="Arial" w:cs="Arial"/>
          <w:b/>
          <w:sz w:val="28"/>
          <w:szCs w:val="28"/>
        </w:rPr>
        <w:t>9.</w:t>
      </w:r>
      <w:r w:rsidR="00100F94" w:rsidRPr="00801447">
        <w:rPr>
          <w:rFonts w:ascii="Arial" w:hAnsi="Arial" w:cs="Arial"/>
          <w:b/>
          <w:sz w:val="28"/>
          <w:szCs w:val="28"/>
        </w:rPr>
        <w:t>14</w:t>
      </w:r>
      <w:r w:rsidR="00801447">
        <w:rPr>
          <w:rFonts w:ascii="Arial" w:hAnsi="Arial" w:cs="Arial"/>
          <w:b/>
          <w:sz w:val="28"/>
          <w:szCs w:val="28"/>
        </w:rPr>
        <w:tab/>
      </w:r>
      <w:r w:rsidR="00B077D2" w:rsidRPr="00801447">
        <w:rPr>
          <w:rFonts w:ascii="Arial" w:hAnsi="Arial" w:cs="Arial"/>
          <w:b/>
          <w:sz w:val="28"/>
          <w:szCs w:val="28"/>
        </w:rPr>
        <w:t>Pri</w:t>
      </w:r>
      <w:r w:rsidR="00203DC5" w:rsidRPr="00801447">
        <w:rPr>
          <w:rFonts w:ascii="Arial" w:hAnsi="Arial" w:cs="Arial"/>
          <w:b/>
          <w:sz w:val="28"/>
          <w:szCs w:val="28"/>
        </w:rPr>
        <w:t>m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e </w:t>
      </w:r>
      <w:r w:rsidR="0030746D" w:rsidRPr="00801447">
        <w:rPr>
          <w:rFonts w:ascii="Arial" w:hAnsi="Arial" w:cs="Arial"/>
          <w:b/>
          <w:sz w:val="28"/>
          <w:szCs w:val="28"/>
        </w:rPr>
        <w:t>t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imes – </w:t>
      </w:r>
      <w:r w:rsidR="00BE53AD">
        <w:rPr>
          <w:rFonts w:ascii="Arial" w:hAnsi="Arial" w:cs="Arial"/>
          <w:b/>
          <w:sz w:val="28"/>
          <w:szCs w:val="28"/>
        </w:rPr>
        <w:t>T</w:t>
      </w:r>
      <w:r w:rsidR="006A3207" w:rsidRPr="00801447">
        <w:rPr>
          <w:rFonts w:ascii="Arial" w:hAnsi="Arial" w:cs="Arial"/>
          <w:b/>
          <w:sz w:val="28"/>
          <w:szCs w:val="28"/>
        </w:rPr>
        <w:t>ransition to school</w:t>
      </w:r>
    </w:p>
    <w:p w14:paraId="2A7E8559" w14:textId="77777777" w:rsidR="00702B1B" w:rsidRPr="00085A01" w:rsidRDefault="006A3207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Moving on to school is a major transition in a child’s life involving separation from 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familiar </w:t>
      </w:r>
      <w:r w:rsidRPr="00085A01">
        <w:rPr>
          <w:rFonts w:ascii="Arial" w:hAnsi="Arial" w:cs="Arial"/>
          <w:bCs/>
          <w:sz w:val="22"/>
          <w:szCs w:val="22"/>
        </w:rPr>
        <w:t>adults and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 children</w:t>
      </w:r>
      <w:r w:rsidRPr="00085A01">
        <w:rPr>
          <w:rFonts w:ascii="Arial" w:hAnsi="Arial" w:cs="Arial"/>
          <w:bCs/>
          <w:sz w:val="22"/>
          <w:szCs w:val="22"/>
        </w:rPr>
        <w:t xml:space="preserve">. Older children have a more secure understanding of ‘people permanence’ and </w:t>
      </w:r>
      <w:proofErr w:type="gramStart"/>
      <w:r w:rsidRPr="00085A01">
        <w:rPr>
          <w:rFonts w:ascii="Arial" w:hAnsi="Arial" w:cs="Arial"/>
          <w:bCs/>
          <w:sz w:val="22"/>
          <w:szCs w:val="22"/>
        </w:rPr>
        <w:t>are able to</w:t>
      </w:r>
      <w:proofErr w:type="gramEnd"/>
      <w:r w:rsidRPr="00085A01">
        <w:rPr>
          <w:rFonts w:ascii="Arial" w:hAnsi="Arial" w:cs="Arial"/>
          <w:bCs/>
          <w:sz w:val="22"/>
          <w:szCs w:val="22"/>
        </w:rPr>
        <w:t xml:space="preserve"> approach new experiences with confidence. However, they need preparation if they are to approach transition to school with confidence and an awareness of what to expect</w:t>
      </w:r>
      <w:r w:rsidR="00DE55E0" w:rsidRPr="00085A01">
        <w:rPr>
          <w:rFonts w:ascii="Arial" w:hAnsi="Arial" w:cs="Arial"/>
          <w:bCs/>
          <w:sz w:val="22"/>
          <w:szCs w:val="22"/>
        </w:rPr>
        <w:t xml:space="preserve">. </w:t>
      </w:r>
    </w:p>
    <w:p w14:paraId="2CA514E3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Partnership with schools</w:t>
      </w:r>
    </w:p>
    <w:p w14:paraId="207E429A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Details of the school that a child will be attending are recorded in the child’s file along with the name of the reception class teacher.</w:t>
      </w:r>
    </w:p>
    <w:p w14:paraId="296B9B6E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Every effort is made to forge and maintain strong links with all schools that children may attend. The setting manager will approach schools</w:t>
      </w:r>
      <w:r w:rsidR="00805697" w:rsidRPr="00085A01">
        <w:rPr>
          <w:rFonts w:cs="Arial"/>
          <w:szCs w:val="22"/>
        </w:rPr>
        <w:t xml:space="preserve"> </w:t>
      </w:r>
      <w:proofErr w:type="gramStart"/>
      <w:r w:rsidR="00805697" w:rsidRPr="00085A01">
        <w:rPr>
          <w:rFonts w:cs="Arial"/>
          <w:szCs w:val="22"/>
        </w:rPr>
        <w:t>in order to</w:t>
      </w:r>
      <w:proofErr w:type="gramEnd"/>
      <w:r w:rsidRPr="00085A01">
        <w:rPr>
          <w:rFonts w:cs="Arial"/>
          <w:szCs w:val="22"/>
        </w:rPr>
        <w:t xml:space="preserve"> open lines of communication where these have not previously existed.</w:t>
      </w:r>
    </w:p>
    <w:p w14:paraId="30965ACD" w14:textId="51AC6D2A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Details of the school’s transition or settling in procedures are kept by the setting and are referred to </w:t>
      </w:r>
      <w:r w:rsidR="00805697" w:rsidRPr="00085A01">
        <w:rPr>
          <w:rFonts w:cs="Arial"/>
          <w:szCs w:val="22"/>
        </w:rPr>
        <w:t>so that members of</w:t>
      </w:r>
      <w:r w:rsidRPr="00085A01">
        <w:rPr>
          <w:rFonts w:cs="Arial"/>
          <w:szCs w:val="22"/>
        </w:rPr>
        <w:t xml:space="preserve"> staff are familiar with them and can develop a consistent approach to </w:t>
      </w:r>
      <w:r w:rsidR="00E274DB" w:rsidRPr="00085A01">
        <w:rPr>
          <w:rFonts w:cs="Arial"/>
          <w:szCs w:val="22"/>
        </w:rPr>
        <w:t>transition with</w:t>
      </w:r>
      <w:r w:rsidRPr="00085A01">
        <w:rPr>
          <w:rFonts w:cs="Arial"/>
          <w:szCs w:val="22"/>
        </w:rPr>
        <w:t xml:space="preserve"> teachers, parents and children.</w:t>
      </w:r>
    </w:p>
    <w:p w14:paraId="026F9F0E" w14:textId="5EE4C1FE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Teachers are welcomed into the setting and sufficient time is made for them to spend b</w:t>
      </w:r>
      <w:r w:rsidR="00DE55E0" w:rsidRPr="00085A01">
        <w:rPr>
          <w:rFonts w:cs="Arial"/>
          <w:szCs w:val="22"/>
        </w:rPr>
        <w:t xml:space="preserve">oth with the child, their </w:t>
      </w:r>
      <w:r w:rsidRPr="00085A01">
        <w:rPr>
          <w:rFonts w:cs="Arial"/>
          <w:szCs w:val="22"/>
        </w:rPr>
        <w:t>parents and with the key person</w:t>
      </w:r>
      <w:r w:rsidR="00805697" w:rsidRPr="00085A01">
        <w:rPr>
          <w:rFonts w:cs="Arial"/>
          <w:szCs w:val="22"/>
        </w:rPr>
        <w:t xml:space="preserve">, </w:t>
      </w:r>
      <w:r w:rsidRPr="00085A01">
        <w:rPr>
          <w:rFonts w:cs="Arial"/>
          <w:szCs w:val="22"/>
        </w:rPr>
        <w:t>to discuss and share information that will support the child’s transition to school.</w:t>
      </w:r>
    </w:p>
    <w:p w14:paraId="08078170" w14:textId="7C7D25A1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536026">
        <w:rPr>
          <w:rFonts w:cs="Arial"/>
          <w:szCs w:val="22"/>
        </w:rPr>
        <w:t xml:space="preserve">A child’s EYFS </w:t>
      </w:r>
      <w:r w:rsidR="00227CB3">
        <w:rPr>
          <w:rFonts w:cs="Arial"/>
          <w:szCs w:val="22"/>
        </w:rPr>
        <w:t>final report</w:t>
      </w:r>
      <w:r w:rsidRPr="00536026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 xml:space="preserve">is forwarded to </w:t>
      </w:r>
      <w:r w:rsidR="00B26955" w:rsidRPr="00085A01">
        <w:rPr>
          <w:rFonts w:cs="Arial"/>
          <w:szCs w:val="22"/>
        </w:rPr>
        <w:t xml:space="preserve">the </w:t>
      </w:r>
      <w:r w:rsidRPr="00085A01">
        <w:rPr>
          <w:rFonts w:cs="Arial"/>
          <w:szCs w:val="22"/>
        </w:rPr>
        <w:t>school along with other information that will aid transition and settling in. Parents receive a copy of this.</w:t>
      </w:r>
    </w:p>
    <w:p w14:paraId="4C12EB81" w14:textId="2FAB6F78" w:rsidR="006A3207" w:rsidRPr="00085A01" w:rsidRDefault="007F4FE5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Any action plans relating to a child’s additional needs are also shared</w:t>
      </w:r>
      <w:r w:rsidR="00B26955" w:rsidRPr="00085A01">
        <w:rPr>
          <w:rFonts w:ascii="Arial" w:hAnsi="Arial" w:cs="Arial"/>
          <w:sz w:val="22"/>
          <w:szCs w:val="22"/>
        </w:rPr>
        <w:t>,</w:t>
      </w:r>
      <w:r w:rsidR="006A3207" w:rsidRPr="00085A01">
        <w:rPr>
          <w:rFonts w:ascii="Arial" w:hAnsi="Arial" w:cs="Arial"/>
          <w:sz w:val="22"/>
          <w:szCs w:val="22"/>
        </w:rPr>
        <w:t xml:space="preserve"> where this is in place.</w:t>
      </w:r>
    </w:p>
    <w:p w14:paraId="2A7A9448" w14:textId="359FDFA1" w:rsidR="001B7BEB" w:rsidRPr="00085A01" w:rsidRDefault="006A3207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Other formal docum</w:t>
      </w:r>
      <w:r w:rsidR="007F4FE5" w:rsidRPr="00085A01">
        <w:rPr>
          <w:rFonts w:ascii="Arial" w:hAnsi="Arial" w:cs="Arial"/>
          <w:sz w:val="22"/>
          <w:szCs w:val="22"/>
        </w:rPr>
        <w:t>entation</w:t>
      </w:r>
      <w:r w:rsidR="00DB5804" w:rsidRPr="00085A01">
        <w:rPr>
          <w:rFonts w:ascii="Arial" w:hAnsi="Arial" w:cs="Arial"/>
          <w:sz w:val="22"/>
          <w:szCs w:val="22"/>
        </w:rPr>
        <w:t xml:space="preserve"> such as safeguarding </w:t>
      </w:r>
      <w:r w:rsidR="00DB5804" w:rsidRPr="008E6259">
        <w:rPr>
          <w:rFonts w:ascii="Arial" w:hAnsi="Arial" w:cs="Arial"/>
          <w:sz w:val="22"/>
          <w:szCs w:val="22"/>
        </w:rPr>
        <w:t>information</w:t>
      </w:r>
      <w:r w:rsidR="007F4FE5" w:rsidRPr="008E6259">
        <w:rPr>
          <w:rFonts w:ascii="Arial" w:hAnsi="Arial" w:cs="Arial"/>
          <w:sz w:val="22"/>
          <w:szCs w:val="22"/>
        </w:rPr>
        <w:t xml:space="preserve"> is</w:t>
      </w:r>
      <w:r w:rsidRPr="008E6259">
        <w:rPr>
          <w:rFonts w:ascii="Arial" w:hAnsi="Arial" w:cs="Arial"/>
          <w:sz w:val="22"/>
          <w:szCs w:val="22"/>
        </w:rPr>
        <w:t xml:space="preserve"> prepared in line with procedure </w:t>
      </w:r>
      <w:r w:rsidR="008E6259" w:rsidRPr="008E6259">
        <w:rPr>
          <w:rFonts w:ascii="Arial" w:hAnsi="Arial" w:cs="Arial"/>
          <w:sz w:val="22"/>
          <w:szCs w:val="22"/>
        </w:rPr>
        <w:t>0</w:t>
      </w:r>
      <w:r w:rsidRPr="008E6259">
        <w:rPr>
          <w:rFonts w:ascii="Arial" w:hAnsi="Arial" w:cs="Arial"/>
          <w:sz w:val="22"/>
          <w:szCs w:val="22"/>
        </w:rPr>
        <w:t>7.6</w:t>
      </w:r>
      <w:r w:rsidR="00A94C28" w:rsidRPr="008E6259">
        <w:rPr>
          <w:rFonts w:ascii="Arial" w:hAnsi="Arial" w:cs="Arial"/>
          <w:sz w:val="22"/>
          <w:szCs w:val="22"/>
        </w:rPr>
        <w:t xml:space="preserve"> </w:t>
      </w:r>
      <w:r w:rsidR="008E6259" w:rsidRPr="008E6259">
        <w:rPr>
          <w:rFonts w:ascii="Arial" w:hAnsi="Arial" w:cs="Arial"/>
          <w:sz w:val="22"/>
          <w:szCs w:val="22"/>
        </w:rPr>
        <w:t>Transfer of records.</w:t>
      </w:r>
    </w:p>
    <w:p w14:paraId="3C297625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Partnership with parents </w:t>
      </w:r>
    </w:p>
    <w:p w14:paraId="1CD0F879" w14:textId="77777777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discuss transition to school with parents and set aside time to discuss learning and development summaries. Parents are encouraged to contribute to summaries.</w:t>
      </w:r>
    </w:p>
    <w:p w14:paraId="255F1ECA" w14:textId="0E892440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Key persons will discuss with parents how they are preparing their child for </w:t>
      </w:r>
      <w:r w:rsidR="00E274DB" w:rsidRPr="00085A01">
        <w:rPr>
          <w:rFonts w:ascii="Arial" w:hAnsi="Arial" w:cs="Arial"/>
          <w:sz w:val="22"/>
          <w:szCs w:val="22"/>
        </w:rPr>
        <w:t>school and</w:t>
      </w:r>
      <w:r w:rsidRPr="00085A01">
        <w:rPr>
          <w:rFonts w:ascii="Arial" w:hAnsi="Arial" w:cs="Arial"/>
          <w:sz w:val="22"/>
          <w:szCs w:val="22"/>
        </w:rPr>
        <w:t xml:space="preserve"> will share information about how the setting is working in partnership with the school to aid transition.</w:t>
      </w:r>
    </w:p>
    <w:p w14:paraId="2FC0A1CB" w14:textId="6B43C4A1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make clear to parents the information that will be shared with the school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for example, </w:t>
      </w:r>
      <w:r w:rsidRPr="00085A01">
        <w:rPr>
          <w:rFonts w:ascii="Arial" w:hAnsi="Arial" w:cs="Arial"/>
          <w:sz w:val="22"/>
          <w:szCs w:val="22"/>
        </w:rPr>
        <w:t>information regarding child protection and work that has taken place to ensure the child’s welfare.</w:t>
      </w:r>
    </w:p>
    <w:p w14:paraId="4D54C8A8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Increasing familiarity for children</w:t>
      </w:r>
    </w:p>
    <w:p w14:paraId="445C21B5" w14:textId="4DE8BF4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the setting is on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adjacent to a school site, there will be opportunities for children to become familiar with staff and school premises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for example shared use of outdoor and indoor spaces, activities and resources.</w:t>
      </w:r>
    </w:p>
    <w:p w14:paraId="1B2F9442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Where possible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the key person will take the child to visit the new school, if this is the school’s transition policy.</w:t>
      </w:r>
    </w:p>
    <w:p w14:paraId="0DEBCFF8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there are several schools in a catchment area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the setting is not within a reasonable distance of the school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other means of familiarisation will be explored</w:t>
      </w:r>
      <w:r w:rsidR="00805697" w:rsidRPr="00085A01">
        <w:rPr>
          <w:rFonts w:ascii="Arial" w:hAnsi="Arial" w:cs="Arial"/>
          <w:sz w:val="22"/>
          <w:szCs w:val="22"/>
        </w:rPr>
        <w:t>. This could be through</w:t>
      </w:r>
      <w:r w:rsidRPr="00085A01">
        <w:rPr>
          <w:rFonts w:ascii="Arial" w:hAnsi="Arial" w:cs="Arial"/>
          <w:sz w:val="22"/>
          <w:szCs w:val="22"/>
        </w:rPr>
        <w:t xml:space="preserve"> videos, photographs </w:t>
      </w:r>
      <w:r w:rsidR="00B073C6" w:rsidRPr="00085A01">
        <w:rPr>
          <w:rFonts w:ascii="Arial" w:hAnsi="Arial" w:cs="Arial"/>
          <w:sz w:val="22"/>
          <w:szCs w:val="22"/>
        </w:rPr>
        <w:t>or other</w:t>
      </w:r>
      <w:r w:rsidR="00805697" w:rsidRPr="00085A01">
        <w:rPr>
          <w:rFonts w:ascii="Arial" w:hAnsi="Arial" w:cs="Arial"/>
          <w:sz w:val="22"/>
          <w:szCs w:val="22"/>
        </w:rPr>
        <w:t xml:space="preserve"> information about the </w:t>
      </w:r>
      <w:r w:rsidRPr="00085A01">
        <w:rPr>
          <w:rFonts w:ascii="Arial" w:hAnsi="Arial" w:cs="Arial"/>
          <w:sz w:val="22"/>
          <w:szCs w:val="22"/>
        </w:rPr>
        <w:t xml:space="preserve">school </w:t>
      </w:r>
      <w:r w:rsidR="00805697" w:rsidRPr="00085A01">
        <w:rPr>
          <w:rFonts w:ascii="Arial" w:hAnsi="Arial" w:cs="Arial"/>
          <w:sz w:val="22"/>
          <w:szCs w:val="22"/>
        </w:rPr>
        <w:t>that can be shown</w:t>
      </w:r>
      <w:r w:rsidRPr="00085A01">
        <w:rPr>
          <w:rFonts w:ascii="Arial" w:hAnsi="Arial" w:cs="Arial"/>
          <w:sz w:val="22"/>
          <w:szCs w:val="22"/>
        </w:rPr>
        <w:t xml:space="preserve"> within the setting. Staff may borrow resources from the schools and will use these with the children.</w:t>
      </w:r>
    </w:p>
    <w:p w14:paraId="1F958CB2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Preparing children for leaving</w:t>
      </w:r>
    </w:p>
    <w:p w14:paraId="4087054C" w14:textId="77777777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 and parents form bonds with adults and children in the setting and will need preparation for separating from the relationships they have formed.</w:t>
      </w:r>
    </w:p>
    <w:p w14:paraId="338F3726" w14:textId="756DC391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child’s last day should be prepared for in </w:t>
      </w:r>
      <w:r w:rsidR="00E274DB" w:rsidRPr="00085A01">
        <w:rPr>
          <w:rFonts w:ascii="Arial" w:hAnsi="Arial" w:cs="Arial"/>
          <w:sz w:val="22"/>
          <w:szCs w:val="22"/>
        </w:rPr>
        <w:t>advance and</w:t>
      </w:r>
      <w:r w:rsidR="00805697" w:rsidRPr="00085A01">
        <w:rPr>
          <w:rFonts w:ascii="Arial" w:hAnsi="Arial" w:cs="Arial"/>
          <w:sz w:val="22"/>
          <w:szCs w:val="22"/>
        </w:rPr>
        <w:t xml:space="preserve"> marked</w:t>
      </w:r>
      <w:r w:rsidRPr="00085A01">
        <w:rPr>
          <w:rFonts w:ascii="Arial" w:hAnsi="Arial" w:cs="Arial"/>
          <w:sz w:val="22"/>
          <w:szCs w:val="22"/>
        </w:rPr>
        <w:t xml:space="preserve"> with a special celebration or party that acknowledges that the child is moving on.</w:t>
      </w:r>
    </w:p>
    <w:p w14:paraId="2FB19788" w14:textId="284E1DBD" w:rsidR="006A3207" w:rsidRPr="00085A01" w:rsidRDefault="006A3207" w:rsidP="001F0524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7563C">
        <w:rPr>
          <w:rFonts w:ascii="Arial" w:hAnsi="Arial" w:cs="Arial"/>
          <w:sz w:val="22"/>
          <w:szCs w:val="22"/>
        </w:rPr>
        <w:t>Parents should not be discouraged from bringing the child for the occasional brief visit</w:t>
      </w:r>
      <w:r w:rsidR="00805697" w:rsidRPr="0057563C">
        <w:rPr>
          <w:rFonts w:ascii="Arial" w:hAnsi="Arial" w:cs="Arial"/>
          <w:sz w:val="22"/>
          <w:szCs w:val="22"/>
        </w:rPr>
        <w:t>,</w:t>
      </w:r>
      <w:r w:rsidRPr="0057563C">
        <w:rPr>
          <w:rFonts w:ascii="Arial" w:hAnsi="Arial" w:cs="Arial"/>
          <w:sz w:val="22"/>
          <w:szCs w:val="22"/>
        </w:rPr>
        <w:t xml:space="preserve"> as separations often take time to complete. Sometimes children need the reassurance that </w:t>
      </w:r>
      <w:r w:rsidR="00227CB3">
        <w:rPr>
          <w:rFonts w:ascii="Arial" w:hAnsi="Arial" w:cs="Arial"/>
          <w:sz w:val="22"/>
          <w:szCs w:val="22"/>
        </w:rPr>
        <w:t>Tiggers</w:t>
      </w:r>
      <w:r w:rsidRPr="0057563C">
        <w:rPr>
          <w:rFonts w:ascii="Arial" w:hAnsi="Arial" w:cs="Arial"/>
          <w:sz w:val="22"/>
          <w:szCs w:val="22"/>
        </w:rPr>
        <w:t xml:space="preserve"> is still there and that they are remembered.</w:t>
      </w:r>
      <w:r w:rsidR="00227CB3">
        <w:rPr>
          <w:rFonts w:ascii="Arial" w:hAnsi="Arial" w:cs="Arial"/>
          <w:sz w:val="22"/>
          <w:szCs w:val="22"/>
        </w:rPr>
        <w:t xml:space="preserve"> Our motto is Once a Tigger, </w:t>
      </w:r>
      <w:proofErr w:type="gramStart"/>
      <w:r w:rsidR="00227CB3">
        <w:rPr>
          <w:rFonts w:ascii="Arial" w:hAnsi="Arial" w:cs="Arial"/>
          <w:sz w:val="22"/>
          <w:szCs w:val="22"/>
        </w:rPr>
        <w:t>Always</w:t>
      </w:r>
      <w:proofErr w:type="gramEnd"/>
      <w:r w:rsidR="00227CB3">
        <w:rPr>
          <w:rFonts w:ascii="Arial" w:hAnsi="Arial" w:cs="Arial"/>
          <w:sz w:val="22"/>
          <w:szCs w:val="22"/>
        </w:rPr>
        <w:t xml:space="preserve"> a Tigger.</w:t>
      </w:r>
    </w:p>
    <w:sectPr w:rsidR="006A3207" w:rsidRPr="00085A01" w:rsidSect="0057563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8663A" w14:textId="77777777" w:rsidR="0070337D" w:rsidRDefault="0070337D" w:rsidP="003C7A9F">
      <w:r>
        <w:separator/>
      </w:r>
    </w:p>
  </w:endnote>
  <w:endnote w:type="continuationSeparator" w:id="0">
    <w:p w14:paraId="14DE71BC" w14:textId="77777777" w:rsidR="0070337D" w:rsidRDefault="0070337D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0BDA" w14:textId="77777777" w:rsidR="0070337D" w:rsidRDefault="0070337D" w:rsidP="003C7A9F">
      <w:r>
        <w:separator/>
      </w:r>
    </w:p>
  </w:footnote>
  <w:footnote w:type="continuationSeparator" w:id="0">
    <w:p w14:paraId="1C52675E" w14:textId="77777777" w:rsidR="0070337D" w:rsidRDefault="0070337D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5055023">
    <w:abstractNumId w:val="60"/>
  </w:num>
  <w:num w:numId="2" w16cid:durableId="1920091619">
    <w:abstractNumId w:val="59"/>
  </w:num>
  <w:num w:numId="3" w16cid:durableId="733240895">
    <w:abstractNumId w:val="71"/>
  </w:num>
  <w:num w:numId="4" w16cid:durableId="1138256200">
    <w:abstractNumId w:val="41"/>
  </w:num>
  <w:num w:numId="5" w16cid:durableId="993531027">
    <w:abstractNumId w:val="34"/>
  </w:num>
  <w:num w:numId="6" w16cid:durableId="650255447">
    <w:abstractNumId w:val="6"/>
  </w:num>
  <w:num w:numId="7" w16cid:durableId="911432329">
    <w:abstractNumId w:val="50"/>
  </w:num>
  <w:num w:numId="8" w16cid:durableId="618418767">
    <w:abstractNumId w:val="86"/>
  </w:num>
  <w:num w:numId="9" w16cid:durableId="191191548">
    <w:abstractNumId w:val="88"/>
  </w:num>
  <w:num w:numId="10" w16cid:durableId="572012687">
    <w:abstractNumId w:val="38"/>
  </w:num>
  <w:num w:numId="11" w16cid:durableId="159583349">
    <w:abstractNumId w:val="18"/>
  </w:num>
  <w:num w:numId="12" w16cid:durableId="1141380792">
    <w:abstractNumId w:val="53"/>
  </w:num>
  <w:num w:numId="13" w16cid:durableId="430047980">
    <w:abstractNumId w:val="27"/>
  </w:num>
  <w:num w:numId="14" w16cid:durableId="2018850518">
    <w:abstractNumId w:val="10"/>
  </w:num>
  <w:num w:numId="15" w16cid:durableId="1499081973">
    <w:abstractNumId w:val="16"/>
  </w:num>
  <w:num w:numId="16" w16cid:durableId="145557993">
    <w:abstractNumId w:val="20"/>
  </w:num>
  <w:num w:numId="17" w16cid:durableId="571816624">
    <w:abstractNumId w:val="48"/>
  </w:num>
  <w:num w:numId="18" w16cid:durableId="1497694334">
    <w:abstractNumId w:val="46"/>
  </w:num>
  <w:num w:numId="19" w16cid:durableId="1018846837">
    <w:abstractNumId w:val="3"/>
  </w:num>
  <w:num w:numId="20" w16cid:durableId="850222783">
    <w:abstractNumId w:val="43"/>
  </w:num>
  <w:num w:numId="21" w16cid:durableId="1915773799">
    <w:abstractNumId w:val="85"/>
  </w:num>
  <w:num w:numId="22" w16cid:durableId="1631205813">
    <w:abstractNumId w:val="13"/>
  </w:num>
  <w:num w:numId="23" w16cid:durableId="1439911836">
    <w:abstractNumId w:val="80"/>
  </w:num>
  <w:num w:numId="24" w16cid:durableId="979113076">
    <w:abstractNumId w:val="17"/>
  </w:num>
  <w:num w:numId="25" w16cid:durableId="1701474059">
    <w:abstractNumId w:val="82"/>
  </w:num>
  <w:num w:numId="26" w16cid:durableId="2131899473">
    <w:abstractNumId w:val="39"/>
  </w:num>
  <w:num w:numId="27" w16cid:durableId="1676152013">
    <w:abstractNumId w:val="44"/>
  </w:num>
  <w:num w:numId="28" w16cid:durableId="100154476">
    <w:abstractNumId w:val="11"/>
  </w:num>
  <w:num w:numId="29" w16cid:durableId="1261991089">
    <w:abstractNumId w:val="2"/>
  </w:num>
  <w:num w:numId="30" w16cid:durableId="329258888">
    <w:abstractNumId w:val="66"/>
  </w:num>
  <w:num w:numId="31" w16cid:durableId="1012338409">
    <w:abstractNumId w:val="51"/>
  </w:num>
  <w:num w:numId="32" w16cid:durableId="288247076">
    <w:abstractNumId w:val="32"/>
  </w:num>
  <w:num w:numId="33" w16cid:durableId="1734692798">
    <w:abstractNumId w:val="8"/>
  </w:num>
  <w:num w:numId="34" w16cid:durableId="1713143710">
    <w:abstractNumId w:val="73"/>
  </w:num>
  <w:num w:numId="35" w16cid:durableId="1860198151">
    <w:abstractNumId w:val="29"/>
  </w:num>
  <w:num w:numId="36" w16cid:durableId="240792674">
    <w:abstractNumId w:val="35"/>
  </w:num>
  <w:num w:numId="37" w16cid:durableId="517276996">
    <w:abstractNumId w:val="63"/>
  </w:num>
  <w:num w:numId="38" w16cid:durableId="906648139">
    <w:abstractNumId w:val="1"/>
  </w:num>
  <w:num w:numId="39" w16cid:durableId="659431618">
    <w:abstractNumId w:val="42"/>
  </w:num>
  <w:num w:numId="40" w16cid:durableId="1975259133">
    <w:abstractNumId w:val="19"/>
  </w:num>
  <w:num w:numId="41" w16cid:durableId="851067901">
    <w:abstractNumId w:val="40"/>
  </w:num>
  <w:num w:numId="42" w16cid:durableId="1860242356">
    <w:abstractNumId w:val="47"/>
  </w:num>
  <w:num w:numId="43" w16cid:durableId="426778176">
    <w:abstractNumId w:val="68"/>
  </w:num>
  <w:num w:numId="44" w16cid:durableId="267857762">
    <w:abstractNumId w:val="79"/>
  </w:num>
  <w:num w:numId="45" w16cid:durableId="120927571">
    <w:abstractNumId w:val="9"/>
  </w:num>
  <w:num w:numId="46" w16cid:durableId="1038630550">
    <w:abstractNumId w:val="62"/>
  </w:num>
  <w:num w:numId="47" w16cid:durableId="1922249379">
    <w:abstractNumId w:val="56"/>
  </w:num>
  <w:num w:numId="48" w16cid:durableId="857816221">
    <w:abstractNumId w:val="5"/>
  </w:num>
  <w:num w:numId="49" w16cid:durableId="1661888254">
    <w:abstractNumId w:val="75"/>
  </w:num>
  <w:num w:numId="50" w16cid:durableId="1613780443">
    <w:abstractNumId w:val="78"/>
  </w:num>
  <w:num w:numId="51" w16cid:durableId="1722946632">
    <w:abstractNumId w:val="64"/>
  </w:num>
  <w:num w:numId="52" w16cid:durableId="1096290862">
    <w:abstractNumId w:val="45"/>
  </w:num>
  <w:num w:numId="53" w16cid:durableId="51732821">
    <w:abstractNumId w:val="69"/>
  </w:num>
  <w:num w:numId="54" w16cid:durableId="1875732770">
    <w:abstractNumId w:val="70"/>
  </w:num>
  <w:num w:numId="55" w16cid:durableId="549347627">
    <w:abstractNumId w:val="76"/>
  </w:num>
  <w:num w:numId="56" w16cid:durableId="1609964868">
    <w:abstractNumId w:val="37"/>
  </w:num>
  <w:num w:numId="57" w16cid:durableId="1989506708">
    <w:abstractNumId w:val="14"/>
  </w:num>
  <w:num w:numId="58" w16cid:durableId="1682510403">
    <w:abstractNumId w:val="57"/>
  </w:num>
  <w:num w:numId="59" w16cid:durableId="65030070">
    <w:abstractNumId w:val="87"/>
  </w:num>
  <w:num w:numId="60" w16cid:durableId="226772233">
    <w:abstractNumId w:val="22"/>
  </w:num>
  <w:num w:numId="61" w16cid:durableId="1132748703">
    <w:abstractNumId w:val="28"/>
  </w:num>
  <w:num w:numId="62" w16cid:durableId="606039315">
    <w:abstractNumId w:val="49"/>
  </w:num>
  <w:num w:numId="63" w16cid:durableId="436415022">
    <w:abstractNumId w:val="15"/>
  </w:num>
  <w:num w:numId="64" w16cid:durableId="1232732420">
    <w:abstractNumId w:val="0"/>
  </w:num>
  <w:num w:numId="65" w16cid:durableId="1138960252">
    <w:abstractNumId w:val="74"/>
  </w:num>
  <w:num w:numId="66" w16cid:durableId="1368141216">
    <w:abstractNumId w:val="7"/>
  </w:num>
  <w:num w:numId="67" w16cid:durableId="1377386766">
    <w:abstractNumId w:val="26"/>
  </w:num>
  <w:num w:numId="68" w16cid:durableId="98262396">
    <w:abstractNumId w:val="72"/>
  </w:num>
  <w:num w:numId="69" w16cid:durableId="1809126376">
    <w:abstractNumId w:val="65"/>
  </w:num>
  <w:num w:numId="70" w16cid:durableId="1010335659">
    <w:abstractNumId w:val="55"/>
  </w:num>
  <w:num w:numId="71" w16cid:durableId="1667857132">
    <w:abstractNumId w:val="54"/>
  </w:num>
  <w:num w:numId="72" w16cid:durableId="230312673">
    <w:abstractNumId w:val="12"/>
  </w:num>
  <w:num w:numId="73" w16cid:durableId="139395137">
    <w:abstractNumId w:val="83"/>
  </w:num>
  <w:num w:numId="74" w16cid:durableId="774448679">
    <w:abstractNumId w:val="36"/>
  </w:num>
  <w:num w:numId="75" w16cid:durableId="971132712">
    <w:abstractNumId w:val="4"/>
  </w:num>
  <w:num w:numId="76" w16cid:durableId="1404647899">
    <w:abstractNumId w:val="21"/>
  </w:num>
  <w:num w:numId="77" w16cid:durableId="431554979">
    <w:abstractNumId w:val="23"/>
  </w:num>
  <w:num w:numId="78" w16cid:durableId="1590693156">
    <w:abstractNumId w:val="67"/>
  </w:num>
  <w:num w:numId="79" w16cid:durableId="1963337205">
    <w:abstractNumId w:val="81"/>
  </w:num>
  <w:num w:numId="80" w16cid:durableId="191385168">
    <w:abstractNumId w:val="84"/>
  </w:num>
  <w:num w:numId="81" w16cid:durableId="455566600">
    <w:abstractNumId w:val="52"/>
  </w:num>
  <w:num w:numId="82" w16cid:durableId="788353623">
    <w:abstractNumId w:val="30"/>
  </w:num>
  <w:num w:numId="83" w16cid:durableId="826478286">
    <w:abstractNumId w:val="25"/>
  </w:num>
  <w:num w:numId="84" w16cid:durableId="2065520442">
    <w:abstractNumId w:val="89"/>
  </w:num>
  <w:num w:numId="85" w16cid:durableId="714427602">
    <w:abstractNumId w:val="77"/>
  </w:num>
  <w:num w:numId="86" w16cid:durableId="451100418">
    <w:abstractNumId w:val="24"/>
  </w:num>
  <w:num w:numId="87" w16cid:durableId="1110583054">
    <w:abstractNumId w:val="33"/>
  </w:num>
  <w:num w:numId="88" w16cid:durableId="979188427">
    <w:abstractNumId w:val="58"/>
  </w:num>
  <w:num w:numId="89" w16cid:durableId="3091557">
    <w:abstractNumId w:val="31"/>
  </w:num>
  <w:num w:numId="90" w16cid:durableId="129532973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27CB3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63C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337D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05F94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2018-05-03T18:57:00Z</cp:lastPrinted>
  <dcterms:created xsi:type="dcterms:W3CDTF">2022-04-28T18:00:00Z</dcterms:created>
  <dcterms:modified xsi:type="dcterms:W3CDTF">2022-04-28T18:00:00Z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